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6BD1ED" w14:textId="77777777" w:rsidR="007A5BED" w:rsidRDefault="00A77785">
      <w:pPr>
        <w:pStyle w:val="Title"/>
        <w:spacing w:before="0" w:after="0" w:line="240" w:lineRule="auto"/>
        <w:ind w:left="-630"/>
        <w:jc w:val="center"/>
      </w:pPr>
      <w:bookmarkStart w:id="0" w:name="h.gjdgxs" w:colFirst="0" w:colLast="0"/>
      <w:bookmarkStart w:id="1" w:name="_GoBack"/>
      <w:bookmarkEnd w:id="0"/>
      <w:bookmarkEnd w:id="1"/>
      <w:r>
        <w:rPr>
          <w:sz w:val="48"/>
          <w:szCs w:val="48"/>
        </w:rPr>
        <w:t>NAD Teacher Certification</w:t>
      </w:r>
    </w:p>
    <w:p w14:paraId="60615520" w14:textId="77777777" w:rsidR="007A5BED" w:rsidRDefault="00A77785">
      <w:pPr>
        <w:pStyle w:val="Title"/>
        <w:spacing w:before="0" w:after="0" w:line="240" w:lineRule="auto"/>
        <w:ind w:left="-630"/>
        <w:jc w:val="center"/>
      </w:pPr>
      <w:bookmarkStart w:id="2" w:name="h.30j0zll" w:colFirst="0" w:colLast="0"/>
      <w:bookmarkEnd w:id="2"/>
      <w:r>
        <w:rPr>
          <w:sz w:val="28"/>
          <w:szCs w:val="28"/>
        </w:rPr>
        <w:t>Continuing Education Rubric</w:t>
      </w:r>
    </w:p>
    <w:p w14:paraId="110B9946" w14:textId="77777777" w:rsidR="006C5869" w:rsidRPr="006C5869" w:rsidRDefault="00A77785" w:rsidP="006C5869">
      <w:pPr>
        <w:pStyle w:val="Heading3"/>
        <w:rPr>
          <w:sz w:val="24"/>
          <w:szCs w:val="24"/>
        </w:rPr>
      </w:pPr>
      <w:bookmarkStart w:id="3" w:name="h.lgfjayr0cxef" w:colFirst="0" w:colLast="0"/>
      <w:bookmarkEnd w:id="3"/>
      <w:r w:rsidRPr="006C5869">
        <w:rPr>
          <w:sz w:val="24"/>
          <w:szCs w:val="24"/>
        </w:rPr>
        <w:t>Professional learning is an expectation of all educational professionals. Learning activities submitted for certificate renewal are to contribute directly to professional growth and enhance the employee’s professional skills or expertise. In the course of five years there should be 2 or more different types of activities. The rubric below is intended to prov</w:t>
      </w:r>
      <w:r w:rsidR="006C5869" w:rsidRPr="006C5869">
        <w:rPr>
          <w:sz w:val="24"/>
          <w:szCs w:val="24"/>
        </w:rPr>
        <w:t xml:space="preserve">ide guidelines for granting of </w:t>
      </w:r>
      <w:r w:rsidRPr="006C5869">
        <w:rPr>
          <w:sz w:val="24"/>
          <w:szCs w:val="24"/>
        </w:rPr>
        <w:t>CEU’s across the NAD. The Union Certification Officers have the authority to determine units granted.</w:t>
      </w:r>
    </w:p>
    <w:p w14:paraId="0503D472" w14:textId="77777777" w:rsidR="007A5BED" w:rsidRDefault="00D52CAA" w:rsidP="006C5869">
      <w:pPr>
        <w:pStyle w:val="Heading3"/>
      </w:pPr>
      <w:hyperlink r:id="rId5"/>
      <w:hyperlink r:id="rId6"/>
    </w:p>
    <w:tbl>
      <w:tblPr>
        <w:tblStyle w:val="a"/>
        <w:tblW w:w="10830"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5"/>
        <w:gridCol w:w="3045"/>
      </w:tblGrid>
      <w:tr w:rsidR="007A5BED" w14:paraId="7EA5AA86" w14:textId="77777777" w:rsidTr="006C5869">
        <w:trPr>
          <w:cnfStyle w:val="000000100000" w:firstRow="0" w:lastRow="0" w:firstColumn="0" w:lastColumn="0" w:oddVBand="0" w:evenVBand="0" w:oddHBand="1" w:evenHBand="0" w:firstRowFirstColumn="0" w:firstRowLastColumn="0" w:lastRowFirstColumn="0" w:lastRowLastColumn="0"/>
          <w:trHeight w:val="710"/>
        </w:trPr>
        <w:tc>
          <w:tcPr>
            <w:tcW w:w="10830" w:type="dxa"/>
            <w:gridSpan w:val="2"/>
            <w:shd w:val="clear" w:color="auto" w:fill="D9D9D9"/>
          </w:tcPr>
          <w:p w14:paraId="7EF9CDDC" w14:textId="77777777" w:rsidR="007A5BED" w:rsidRDefault="00D52CAA">
            <w:pPr>
              <w:jc w:val="center"/>
            </w:pPr>
            <w:hyperlink r:id="rId7"/>
          </w:p>
          <w:p w14:paraId="505B76D1" w14:textId="77777777" w:rsidR="007A5BED" w:rsidRDefault="00A77785">
            <w:pPr>
              <w:jc w:val="center"/>
            </w:pPr>
            <w:r>
              <w:rPr>
                <w:rFonts w:ascii="Times New Roman" w:eastAsia="Times New Roman" w:hAnsi="Times New Roman" w:cs="Times New Roman"/>
                <w:b/>
                <w:sz w:val="24"/>
                <w:szCs w:val="24"/>
              </w:rPr>
              <w:t>Professional Learning</w:t>
            </w:r>
          </w:p>
          <w:p w14:paraId="5FEA208B" w14:textId="77777777" w:rsidR="007A5BED" w:rsidRDefault="007A5BED">
            <w:pPr>
              <w:jc w:val="center"/>
            </w:pPr>
          </w:p>
          <w:p w14:paraId="33EF4E90" w14:textId="77777777" w:rsidR="007A5BED" w:rsidRDefault="007A5BED">
            <w:pPr>
              <w:jc w:val="center"/>
            </w:pPr>
          </w:p>
        </w:tc>
      </w:tr>
      <w:tr w:rsidR="007A5BED" w14:paraId="68DA6303"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348BCA12" w14:textId="77777777" w:rsidR="007A5BED" w:rsidRDefault="00A77785" w:rsidP="006C5869">
            <w:r>
              <w:rPr>
                <w:rFonts w:ascii="Times New Roman" w:eastAsia="Times New Roman" w:hAnsi="Times New Roman" w:cs="Times New Roman"/>
                <w:sz w:val="24"/>
                <w:szCs w:val="24"/>
              </w:rPr>
              <w:t xml:space="preserve">Attend a professional </w:t>
            </w:r>
            <w:r w:rsidRPr="006C5869">
              <w:rPr>
                <w:rFonts w:ascii="Times New Roman" w:eastAsia="Times New Roman" w:hAnsi="Times New Roman" w:cs="Times New Roman"/>
                <w:sz w:val="24"/>
                <w:szCs w:val="24"/>
              </w:rPr>
              <w:t xml:space="preserve">organization </w:t>
            </w:r>
            <w:r>
              <w:rPr>
                <w:rFonts w:ascii="Times New Roman" w:eastAsia="Times New Roman" w:hAnsi="Times New Roman" w:cs="Times New Roman"/>
                <w:sz w:val="24"/>
                <w:szCs w:val="24"/>
              </w:rPr>
              <w:t>conference, workshop or seminar</w:t>
            </w:r>
          </w:p>
        </w:tc>
        <w:tc>
          <w:tcPr>
            <w:tcW w:w="3045" w:type="dxa"/>
          </w:tcPr>
          <w:p w14:paraId="71D3E3E3" w14:textId="77777777" w:rsidR="007A5BED" w:rsidRDefault="00A77785" w:rsidP="006C5869">
            <w:r>
              <w:rPr>
                <w:rFonts w:ascii="Times New Roman" w:eastAsia="Times New Roman" w:hAnsi="Times New Roman" w:cs="Times New Roman"/>
                <w:sz w:val="24"/>
                <w:szCs w:val="24"/>
                <w:highlight w:val="white"/>
              </w:rPr>
              <w:t>0.1 CEU/</w:t>
            </w:r>
            <w:proofErr w:type="spellStart"/>
            <w:r>
              <w:rPr>
                <w:rFonts w:ascii="Times New Roman" w:eastAsia="Times New Roman" w:hAnsi="Times New Roman" w:cs="Times New Roman"/>
                <w:sz w:val="24"/>
                <w:szCs w:val="24"/>
                <w:highlight w:val="white"/>
              </w:rPr>
              <w:t>hr</w:t>
            </w:r>
            <w:proofErr w:type="spellEnd"/>
          </w:p>
        </w:tc>
      </w:tr>
      <w:tr w:rsidR="007A5BED" w14:paraId="2479FF03"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1D156B7E" w14:textId="77777777" w:rsidR="007A5BED" w:rsidRDefault="00A77785" w:rsidP="006C5869">
            <w:r>
              <w:rPr>
                <w:rFonts w:ascii="Times New Roman" w:eastAsia="Times New Roman" w:hAnsi="Times New Roman" w:cs="Times New Roman"/>
                <w:sz w:val="24"/>
                <w:szCs w:val="24"/>
              </w:rPr>
              <w:t xml:space="preserve">Attend NAD, union or local conference, workshop or seminar </w:t>
            </w:r>
          </w:p>
        </w:tc>
        <w:tc>
          <w:tcPr>
            <w:tcW w:w="3045" w:type="dxa"/>
          </w:tcPr>
          <w:p w14:paraId="59C98ED9" w14:textId="77777777" w:rsidR="007A5BED" w:rsidRDefault="00A77785" w:rsidP="006C5869">
            <w:r>
              <w:rPr>
                <w:rFonts w:ascii="Times New Roman" w:eastAsia="Times New Roman" w:hAnsi="Times New Roman" w:cs="Times New Roman"/>
                <w:sz w:val="24"/>
                <w:szCs w:val="24"/>
                <w:highlight w:val="white"/>
              </w:rPr>
              <w:t>0.1 CEU/</w:t>
            </w:r>
            <w:proofErr w:type="spellStart"/>
            <w:r>
              <w:rPr>
                <w:rFonts w:ascii="Times New Roman" w:eastAsia="Times New Roman" w:hAnsi="Times New Roman" w:cs="Times New Roman"/>
                <w:sz w:val="24"/>
                <w:szCs w:val="24"/>
                <w:highlight w:val="white"/>
              </w:rPr>
              <w:t>hr</w:t>
            </w:r>
            <w:proofErr w:type="spellEnd"/>
          </w:p>
        </w:tc>
      </w:tr>
      <w:tr w:rsidR="007A5BED" w:rsidRPr="006C5869" w14:paraId="549C9F04"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7738EA4E" w14:textId="77777777" w:rsidR="007A5BED" w:rsidRPr="006C5869" w:rsidRDefault="00A77785" w:rsidP="006C5869">
            <w:r w:rsidRPr="006C5869">
              <w:rPr>
                <w:rFonts w:ascii="Times New Roman" w:eastAsia="Times New Roman" w:hAnsi="Times New Roman" w:cs="Times New Roman"/>
                <w:sz w:val="24"/>
                <w:szCs w:val="24"/>
              </w:rPr>
              <w:t>Completing NAD Professional Growth reading plan</w:t>
            </w:r>
          </w:p>
        </w:tc>
        <w:tc>
          <w:tcPr>
            <w:tcW w:w="3045" w:type="dxa"/>
          </w:tcPr>
          <w:p w14:paraId="5D81B8D5" w14:textId="77777777" w:rsidR="007A5BED" w:rsidRPr="006C5869" w:rsidRDefault="00A77785" w:rsidP="006C5869">
            <w:r w:rsidRPr="006C5869">
              <w:rPr>
                <w:rFonts w:ascii="Times New Roman" w:eastAsia="Times New Roman" w:hAnsi="Times New Roman" w:cs="Times New Roman"/>
                <w:sz w:val="24"/>
                <w:szCs w:val="24"/>
              </w:rPr>
              <w:t xml:space="preserve">3 CEU </w:t>
            </w:r>
          </w:p>
        </w:tc>
      </w:tr>
      <w:tr w:rsidR="007A5BED" w:rsidRPr="006C5869" w14:paraId="5C5F928F"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178D3BEA" w14:textId="77777777" w:rsidR="007A5BED" w:rsidRPr="006C5869" w:rsidRDefault="00A77785" w:rsidP="006C5869">
            <w:r w:rsidRPr="006C5869">
              <w:rPr>
                <w:rFonts w:ascii="Times New Roman" w:eastAsia="Times New Roman" w:hAnsi="Times New Roman" w:cs="Times New Roman"/>
                <w:sz w:val="24"/>
                <w:szCs w:val="24"/>
              </w:rPr>
              <w:t>Professional reading</w:t>
            </w:r>
          </w:p>
        </w:tc>
        <w:tc>
          <w:tcPr>
            <w:tcW w:w="3045" w:type="dxa"/>
          </w:tcPr>
          <w:p w14:paraId="20404339" w14:textId="77777777" w:rsidR="007A5BED" w:rsidRPr="006C5869" w:rsidRDefault="00A77785" w:rsidP="006C5869">
            <w:r w:rsidRPr="006C5869">
              <w:rPr>
                <w:rFonts w:ascii="Times New Roman" w:eastAsia="Times New Roman" w:hAnsi="Times New Roman" w:cs="Times New Roman"/>
                <w:sz w:val="24"/>
                <w:szCs w:val="24"/>
              </w:rPr>
              <w:t>0.1 CEU/50 pages up to 3 CEUs/</w:t>
            </w:r>
            <w:proofErr w:type="spellStart"/>
            <w:r w:rsidRPr="006C5869">
              <w:rPr>
                <w:rFonts w:ascii="Times New Roman" w:eastAsia="Times New Roman" w:hAnsi="Times New Roman" w:cs="Times New Roman"/>
                <w:sz w:val="24"/>
                <w:szCs w:val="24"/>
              </w:rPr>
              <w:t>yr</w:t>
            </w:r>
            <w:proofErr w:type="spellEnd"/>
          </w:p>
        </w:tc>
      </w:tr>
      <w:tr w:rsidR="007A5BED" w:rsidRPr="006C5869" w14:paraId="06E5E66D"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59866245" w14:textId="77777777" w:rsidR="007A5BED" w:rsidRPr="006C5869" w:rsidRDefault="00A77785" w:rsidP="006C5869">
            <w:r w:rsidRPr="006C5869">
              <w:rPr>
                <w:rFonts w:ascii="Times New Roman" w:eastAsia="Times New Roman" w:hAnsi="Times New Roman" w:cs="Times New Roman"/>
                <w:sz w:val="24"/>
                <w:szCs w:val="24"/>
              </w:rPr>
              <w:t xml:space="preserve">Continuing Education offered through </w:t>
            </w:r>
            <w:r w:rsidRPr="006C5869">
              <w:rPr>
                <w:rFonts w:ascii="Times New Roman" w:eastAsia="Times New Roman" w:hAnsi="Times New Roman" w:cs="Times New Roman"/>
                <w:i/>
                <w:sz w:val="24"/>
                <w:szCs w:val="24"/>
              </w:rPr>
              <w:t>Adventist Learning Community</w:t>
            </w:r>
            <w:r w:rsidRPr="006C5869">
              <w:rPr>
                <w:rFonts w:ascii="Times New Roman" w:eastAsia="Times New Roman" w:hAnsi="Times New Roman" w:cs="Times New Roman"/>
                <w:sz w:val="24"/>
                <w:szCs w:val="24"/>
              </w:rPr>
              <w:t xml:space="preserve"> or other educational and professional organization (submit certificates earned)</w:t>
            </w:r>
          </w:p>
        </w:tc>
        <w:tc>
          <w:tcPr>
            <w:tcW w:w="3045" w:type="dxa"/>
          </w:tcPr>
          <w:p w14:paraId="1374E79B" w14:textId="77777777" w:rsidR="007A5BED" w:rsidRPr="006C5869" w:rsidRDefault="00A77785" w:rsidP="006C5869">
            <w:r w:rsidRPr="006C5869">
              <w:rPr>
                <w:rFonts w:ascii="Times New Roman" w:eastAsia="Times New Roman" w:hAnsi="Times New Roman" w:cs="Times New Roman"/>
                <w:sz w:val="24"/>
                <w:szCs w:val="24"/>
              </w:rPr>
              <w:t>As assigned by provider</w:t>
            </w:r>
          </w:p>
        </w:tc>
      </w:tr>
      <w:tr w:rsidR="007A5BED" w:rsidRPr="006C5869" w14:paraId="482C46F4"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3CC59128" w14:textId="77777777" w:rsidR="007A5BED" w:rsidRPr="006C5869" w:rsidRDefault="00A77785" w:rsidP="006C5869">
            <w:r w:rsidRPr="006C5869">
              <w:rPr>
                <w:rFonts w:ascii="Times New Roman" w:eastAsia="Times New Roman" w:hAnsi="Times New Roman" w:cs="Times New Roman"/>
                <w:sz w:val="24"/>
                <w:szCs w:val="24"/>
              </w:rPr>
              <w:t>Educational travel (arrange with superintendent prior</w:t>
            </w:r>
            <w:r w:rsidRPr="006C5869">
              <w:rPr>
                <w:rFonts w:ascii="Times New Roman" w:eastAsia="Times New Roman" w:hAnsi="Times New Roman" w:cs="Times New Roman"/>
                <w:b/>
                <w:sz w:val="24"/>
                <w:szCs w:val="24"/>
              </w:rPr>
              <w:t xml:space="preserve"> </w:t>
            </w:r>
            <w:r w:rsidRPr="006C5869">
              <w:rPr>
                <w:rFonts w:ascii="Times New Roman" w:eastAsia="Times New Roman" w:hAnsi="Times New Roman" w:cs="Times New Roman"/>
                <w:sz w:val="24"/>
                <w:szCs w:val="24"/>
              </w:rPr>
              <w:t>to departure; submit dates, purpose, length, destination, and reflection)</w:t>
            </w:r>
          </w:p>
        </w:tc>
        <w:tc>
          <w:tcPr>
            <w:tcW w:w="3045" w:type="dxa"/>
          </w:tcPr>
          <w:p w14:paraId="025E6FCC" w14:textId="77777777" w:rsidR="007A5BED" w:rsidRPr="006C5869" w:rsidRDefault="00A77785" w:rsidP="006C5869">
            <w:r w:rsidRPr="006C5869">
              <w:rPr>
                <w:rFonts w:ascii="Times New Roman" w:eastAsia="Times New Roman" w:hAnsi="Times New Roman" w:cs="Times New Roman"/>
                <w:sz w:val="24"/>
                <w:szCs w:val="24"/>
              </w:rPr>
              <w:t>0.5 CEU/day up to 3 CEUs/</w:t>
            </w:r>
            <w:proofErr w:type="spellStart"/>
            <w:r w:rsidRPr="006C5869">
              <w:rPr>
                <w:rFonts w:ascii="Times New Roman" w:eastAsia="Times New Roman" w:hAnsi="Times New Roman" w:cs="Times New Roman"/>
                <w:sz w:val="24"/>
                <w:szCs w:val="24"/>
              </w:rPr>
              <w:t>yr</w:t>
            </w:r>
            <w:proofErr w:type="spellEnd"/>
          </w:p>
          <w:p w14:paraId="7BF3846D" w14:textId="77777777" w:rsidR="007A5BED" w:rsidRPr="006C5869" w:rsidRDefault="007A5BED" w:rsidP="006C5869"/>
        </w:tc>
      </w:tr>
      <w:tr w:rsidR="007A5BED" w:rsidRPr="006C5869" w14:paraId="09C6E956"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65AAEB0F" w14:textId="77777777" w:rsidR="007A5BED" w:rsidRPr="006C5869" w:rsidRDefault="00A77785" w:rsidP="006C5869">
            <w:r w:rsidRPr="006C5869">
              <w:rPr>
                <w:rFonts w:ascii="Times New Roman" w:eastAsia="Times New Roman" w:hAnsi="Times New Roman" w:cs="Times New Roman"/>
                <w:sz w:val="24"/>
                <w:szCs w:val="24"/>
              </w:rPr>
              <w:t>Teaching a university level course</w:t>
            </w:r>
          </w:p>
        </w:tc>
        <w:tc>
          <w:tcPr>
            <w:tcW w:w="3045" w:type="dxa"/>
          </w:tcPr>
          <w:p w14:paraId="69089848" w14:textId="77777777" w:rsidR="007A5BED" w:rsidRPr="006C5869" w:rsidRDefault="00A77785" w:rsidP="006C5869">
            <w:r w:rsidRPr="006C5869">
              <w:rPr>
                <w:rFonts w:ascii="Times New Roman" w:eastAsia="Times New Roman" w:hAnsi="Times New Roman" w:cs="Times New Roman"/>
                <w:sz w:val="24"/>
                <w:szCs w:val="24"/>
              </w:rPr>
              <w:t>Double the CEU credit of taking the course</w:t>
            </w:r>
          </w:p>
        </w:tc>
      </w:tr>
      <w:tr w:rsidR="007A5BED" w:rsidRPr="006C5869" w14:paraId="11716981"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10830" w:type="dxa"/>
            <w:gridSpan w:val="2"/>
            <w:shd w:val="clear" w:color="auto" w:fill="D9D9D9"/>
          </w:tcPr>
          <w:p w14:paraId="2EF2404A" w14:textId="77777777" w:rsidR="007A5BED" w:rsidRPr="006C5869" w:rsidRDefault="007A5BED" w:rsidP="006C5869">
            <w:pPr>
              <w:jc w:val="center"/>
            </w:pPr>
          </w:p>
          <w:p w14:paraId="1E992BA1" w14:textId="77777777" w:rsidR="007A5BED" w:rsidRPr="006C5869" w:rsidRDefault="00A77785" w:rsidP="006C5869">
            <w:pPr>
              <w:jc w:val="center"/>
            </w:pPr>
            <w:r w:rsidRPr="006C5869">
              <w:rPr>
                <w:rFonts w:ascii="Times New Roman" w:eastAsia="Times New Roman" w:hAnsi="Times New Roman" w:cs="Times New Roman"/>
                <w:b/>
                <w:sz w:val="24"/>
                <w:szCs w:val="24"/>
              </w:rPr>
              <w:t>Professional Collaboration</w:t>
            </w:r>
          </w:p>
          <w:p w14:paraId="752B83AC" w14:textId="77777777" w:rsidR="007A5BED" w:rsidRPr="006C5869" w:rsidRDefault="00A77785" w:rsidP="006C5869">
            <w:pPr>
              <w:jc w:val="center"/>
            </w:pPr>
            <w:r w:rsidRPr="006C5869">
              <w:rPr>
                <w:rFonts w:ascii="Times New Roman" w:eastAsia="Times New Roman" w:hAnsi="Times New Roman" w:cs="Times New Roman"/>
                <w:sz w:val="20"/>
                <w:szCs w:val="20"/>
              </w:rPr>
              <w:t>(arrange with principal or superintendent as required)</w:t>
            </w:r>
          </w:p>
          <w:p w14:paraId="21674291" w14:textId="77777777" w:rsidR="007A5BED" w:rsidRPr="006C5869" w:rsidRDefault="007A5BED" w:rsidP="006C5869">
            <w:pPr>
              <w:jc w:val="center"/>
            </w:pPr>
          </w:p>
        </w:tc>
      </w:tr>
      <w:tr w:rsidR="007A5BED" w:rsidRPr="006C5869" w14:paraId="2E456003"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46E92F83" w14:textId="77777777" w:rsidR="007A5BED" w:rsidRPr="006C5869" w:rsidRDefault="00A77785" w:rsidP="006C5869">
            <w:r w:rsidRPr="006C5869">
              <w:rPr>
                <w:rFonts w:ascii="Times New Roman" w:eastAsia="Times New Roman" w:hAnsi="Times New Roman" w:cs="Times New Roman"/>
                <w:sz w:val="24"/>
                <w:szCs w:val="24"/>
              </w:rPr>
              <w:t xml:space="preserve">Supervision of a student teacher </w:t>
            </w:r>
          </w:p>
        </w:tc>
        <w:tc>
          <w:tcPr>
            <w:tcW w:w="3045" w:type="dxa"/>
          </w:tcPr>
          <w:p w14:paraId="7AD09086" w14:textId="77777777" w:rsidR="007A5BED" w:rsidRPr="006C5869" w:rsidRDefault="00A77785" w:rsidP="006C5869">
            <w:r w:rsidRPr="006C5869">
              <w:rPr>
                <w:rFonts w:ascii="Times New Roman" w:eastAsia="Times New Roman" w:hAnsi="Times New Roman" w:cs="Times New Roman"/>
                <w:sz w:val="24"/>
                <w:szCs w:val="24"/>
              </w:rPr>
              <w:t>0.2 CEU/week</w:t>
            </w:r>
          </w:p>
        </w:tc>
      </w:tr>
      <w:tr w:rsidR="007A5BED" w:rsidRPr="006C5869" w14:paraId="38CB3A9E" w14:textId="77777777" w:rsidTr="007A5BED">
        <w:trPr>
          <w:cnfStyle w:val="000000100000" w:firstRow="0" w:lastRow="0" w:firstColumn="0" w:lastColumn="0" w:oddVBand="0" w:evenVBand="0" w:oddHBand="1" w:evenHBand="0" w:firstRowFirstColumn="0" w:firstRowLastColumn="0" w:lastRowFirstColumn="0" w:lastRowLastColumn="0"/>
          <w:trHeight w:val="300"/>
        </w:trPr>
        <w:tc>
          <w:tcPr>
            <w:tcW w:w="7785" w:type="dxa"/>
          </w:tcPr>
          <w:p w14:paraId="36812C55" w14:textId="77777777" w:rsidR="007A5BED" w:rsidRPr="006C5869" w:rsidRDefault="00A77785" w:rsidP="006C5869">
            <w:pPr>
              <w:spacing w:line="259" w:lineRule="auto"/>
            </w:pPr>
            <w:r w:rsidRPr="006C5869">
              <w:rPr>
                <w:rFonts w:ascii="Times New Roman" w:eastAsia="Times New Roman" w:hAnsi="Times New Roman" w:cs="Times New Roman"/>
                <w:sz w:val="24"/>
                <w:szCs w:val="24"/>
              </w:rPr>
              <w:t>Mentoring in a conference mentor teacher program</w:t>
            </w:r>
          </w:p>
        </w:tc>
        <w:tc>
          <w:tcPr>
            <w:tcW w:w="3045" w:type="dxa"/>
          </w:tcPr>
          <w:p w14:paraId="148E792C" w14:textId="77777777" w:rsidR="007A5BED" w:rsidRPr="006C5869" w:rsidRDefault="00A77785" w:rsidP="006C5869">
            <w:r w:rsidRPr="006C5869">
              <w:rPr>
                <w:rFonts w:ascii="Times New Roman" w:eastAsia="Times New Roman" w:hAnsi="Times New Roman" w:cs="Times New Roman"/>
                <w:sz w:val="24"/>
                <w:szCs w:val="24"/>
              </w:rPr>
              <w:t>Up to 2 CEU/</w:t>
            </w:r>
            <w:proofErr w:type="spellStart"/>
            <w:r w:rsidRPr="006C5869">
              <w:rPr>
                <w:rFonts w:ascii="Times New Roman" w:eastAsia="Times New Roman" w:hAnsi="Times New Roman" w:cs="Times New Roman"/>
                <w:sz w:val="24"/>
                <w:szCs w:val="24"/>
              </w:rPr>
              <w:t>yr</w:t>
            </w:r>
            <w:proofErr w:type="spellEnd"/>
          </w:p>
        </w:tc>
      </w:tr>
      <w:tr w:rsidR="007A5BED" w:rsidRPr="006C5869" w14:paraId="64833E16"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67948AA0" w14:textId="77777777" w:rsidR="007A5BED" w:rsidRPr="006C5869" w:rsidRDefault="00A77785" w:rsidP="006C5869">
            <w:r w:rsidRPr="006C5869">
              <w:rPr>
                <w:rFonts w:ascii="Times New Roman" w:eastAsia="Times New Roman" w:hAnsi="Times New Roman" w:cs="Times New Roman"/>
                <w:sz w:val="24"/>
                <w:szCs w:val="24"/>
              </w:rPr>
              <w:t>Active participation in an educator study group or learning community</w:t>
            </w:r>
          </w:p>
        </w:tc>
        <w:tc>
          <w:tcPr>
            <w:tcW w:w="3045" w:type="dxa"/>
          </w:tcPr>
          <w:p w14:paraId="4897040D" w14:textId="77777777" w:rsidR="007A5BED" w:rsidRPr="006C5869" w:rsidRDefault="00A77785" w:rsidP="006C5869">
            <w:r w:rsidRPr="006C5869">
              <w:rPr>
                <w:rFonts w:ascii="Times New Roman" w:eastAsia="Times New Roman" w:hAnsi="Times New Roman" w:cs="Times New Roman"/>
                <w:sz w:val="24"/>
                <w:szCs w:val="24"/>
              </w:rPr>
              <w:t>0.1 CEU/</w:t>
            </w:r>
            <w:proofErr w:type="spellStart"/>
            <w:r w:rsidRPr="006C5869">
              <w:rPr>
                <w:rFonts w:ascii="Times New Roman" w:eastAsia="Times New Roman" w:hAnsi="Times New Roman" w:cs="Times New Roman"/>
                <w:sz w:val="24"/>
                <w:szCs w:val="24"/>
              </w:rPr>
              <w:t>hr</w:t>
            </w:r>
            <w:proofErr w:type="spellEnd"/>
          </w:p>
        </w:tc>
      </w:tr>
      <w:tr w:rsidR="007A5BED" w:rsidRPr="006C5869" w14:paraId="6107A7B8"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19F1CA41" w14:textId="77777777" w:rsidR="007A5BED" w:rsidRPr="006C5869" w:rsidRDefault="00A77785" w:rsidP="006C5869">
            <w:r w:rsidRPr="006C5869">
              <w:rPr>
                <w:rFonts w:ascii="Times New Roman" w:eastAsia="Times New Roman" w:hAnsi="Times New Roman" w:cs="Times New Roman"/>
                <w:sz w:val="24"/>
                <w:szCs w:val="24"/>
              </w:rPr>
              <w:t>Peer observation with follow-up</w:t>
            </w:r>
          </w:p>
        </w:tc>
        <w:tc>
          <w:tcPr>
            <w:tcW w:w="3045" w:type="dxa"/>
          </w:tcPr>
          <w:p w14:paraId="6BE8E78B" w14:textId="77777777" w:rsidR="007A5BED" w:rsidRPr="006C5869" w:rsidRDefault="00A77785" w:rsidP="006C5869">
            <w:r w:rsidRPr="006C5869">
              <w:rPr>
                <w:rFonts w:ascii="Times New Roman" w:eastAsia="Times New Roman" w:hAnsi="Times New Roman" w:cs="Times New Roman"/>
                <w:sz w:val="24"/>
                <w:szCs w:val="24"/>
              </w:rPr>
              <w:t>0.1 CEU/</w:t>
            </w:r>
            <w:proofErr w:type="spellStart"/>
            <w:r w:rsidRPr="006C5869">
              <w:rPr>
                <w:rFonts w:ascii="Times New Roman" w:eastAsia="Times New Roman" w:hAnsi="Times New Roman" w:cs="Times New Roman"/>
                <w:sz w:val="24"/>
                <w:szCs w:val="24"/>
              </w:rPr>
              <w:t>hr</w:t>
            </w:r>
            <w:proofErr w:type="spellEnd"/>
            <w:r w:rsidRPr="006C5869">
              <w:rPr>
                <w:rFonts w:ascii="Times New Roman" w:eastAsia="Times New Roman" w:hAnsi="Times New Roman" w:cs="Times New Roman"/>
                <w:sz w:val="24"/>
                <w:szCs w:val="24"/>
              </w:rPr>
              <w:t xml:space="preserve"> </w:t>
            </w:r>
          </w:p>
        </w:tc>
      </w:tr>
      <w:tr w:rsidR="007A5BED" w:rsidRPr="006C5869" w14:paraId="7C82FB40"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7DBA3128" w14:textId="77777777" w:rsidR="007A5BED" w:rsidRPr="006C5869" w:rsidRDefault="00A77785" w:rsidP="006C5869">
            <w:r w:rsidRPr="006C5869">
              <w:rPr>
                <w:rFonts w:ascii="Times New Roman" w:eastAsia="Times New Roman" w:hAnsi="Times New Roman" w:cs="Times New Roman"/>
                <w:sz w:val="24"/>
                <w:szCs w:val="24"/>
              </w:rPr>
              <w:t>Field/pilot testing NAD curriculum materials</w:t>
            </w:r>
          </w:p>
        </w:tc>
        <w:tc>
          <w:tcPr>
            <w:tcW w:w="3045" w:type="dxa"/>
          </w:tcPr>
          <w:p w14:paraId="6AFCBA46" w14:textId="77777777" w:rsidR="007A5BED" w:rsidRPr="006C5869" w:rsidRDefault="00A77785" w:rsidP="006C5869">
            <w:r w:rsidRPr="006C5869">
              <w:rPr>
                <w:rFonts w:ascii="Times New Roman" w:eastAsia="Times New Roman" w:hAnsi="Times New Roman" w:cs="Times New Roman"/>
                <w:sz w:val="24"/>
                <w:szCs w:val="24"/>
              </w:rPr>
              <w:t>Predetermined by NADOE</w:t>
            </w:r>
          </w:p>
        </w:tc>
      </w:tr>
      <w:tr w:rsidR="007A5BED" w:rsidRPr="006C5869" w14:paraId="418E7700"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47EDAEC6" w14:textId="77777777" w:rsidR="007A5BED" w:rsidRPr="006C5869" w:rsidRDefault="00A77785" w:rsidP="006C5869">
            <w:r w:rsidRPr="006C5869">
              <w:rPr>
                <w:rFonts w:ascii="Times New Roman" w:eastAsia="Times New Roman" w:hAnsi="Times New Roman" w:cs="Times New Roman"/>
                <w:sz w:val="24"/>
                <w:szCs w:val="24"/>
              </w:rPr>
              <w:t>NAD school evaluation team (submit school evaluated and number of days)</w:t>
            </w:r>
          </w:p>
          <w:p w14:paraId="0456CAC2" w14:textId="77777777" w:rsidR="007A5BED" w:rsidRPr="006C5869" w:rsidRDefault="007A5BED" w:rsidP="006C5869"/>
        </w:tc>
        <w:tc>
          <w:tcPr>
            <w:tcW w:w="3045" w:type="dxa"/>
          </w:tcPr>
          <w:p w14:paraId="10AD2C60" w14:textId="77777777" w:rsidR="007A5BED" w:rsidRPr="006C5869" w:rsidRDefault="00A77785" w:rsidP="006C5869">
            <w:r w:rsidRPr="006C5869">
              <w:rPr>
                <w:rFonts w:ascii="Times New Roman" w:eastAsia="Times New Roman" w:hAnsi="Times New Roman" w:cs="Times New Roman"/>
                <w:sz w:val="24"/>
                <w:szCs w:val="24"/>
              </w:rPr>
              <w:t xml:space="preserve">0.5 CEU/day-Member </w:t>
            </w:r>
          </w:p>
          <w:p w14:paraId="5E8C25AE" w14:textId="77777777" w:rsidR="007A5BED" w:rsidRPr="006C5869" w:rsidRDefault="00A77785" w:rsidP="006C5869">
            <w:r w:rsidRPr="006C5869">
              <w:rPr>
                <w:rFonts w:ascii="Times New Roman" w:eastAsia="Times New Roman" w:hAnsi="Times New Roman" w:cs="Times New Roman"/>
                <w:sz w:val="24"/>
                <w:szCs w:val="24"/>
              </w:rPr>
              <w:t>1.0 CEU/day-Chair</w:t>
            </w:r>
          </w:p>
        </w:tc>
      </w:tr>
      <w:tr w:rsidR="007A5BED" w:rsidRPr="006C5869" w14:paraId="0CBE7831"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10830" w:type="dxa"/>
            <w:gridSpan w:val="2"/>
            <w:shd w:val="clear" w:color="auto" w:fill="D9D9D9"/>
          </w:tcPr>
          <w:p w14:paraId="11781F55" w14:textId="77777777" w:rsidR="007A5BED" w:rsidRPr="006C5869" w:rsidRDefault="007A5BED" w:rsidP="006C5869">
            <w:pPr>
              <w:jc w:val="center"/>
            </w:pPr>
          </w:p>
          <w:p w14:paraId="4856BBAC" w14:textId="77777777" w:rsidR="007A5BED" w:rsidRPr="006C5869" w:rsidRDefault="00A77785" w:rsidP="006C5869">
            <w:pPr>
              <w:jc w:val="center"/>
            </w:pPr>
            <w:r w:rsidRPr="006C5869">
              <w:rPr>
                <w:rFonts w:ascii="Times New Roman" w:eastAsia="Times New Roman" w:hAnsi="Times New Roman" w:cs="Times New Roman"/>
                <w:b/>
                <w:sz w:val="24"/>
                <w:szCs w:val="24"/>
              </w:rPr>
              <w:t>Professional Presentation and Writing</w:t>
            </w:r>
          </w:p>
          <w:p w14:paraId="426A8D60" w14:textId="77777777" w:rsidR="007A5BED" w:rsidRPr="006C5869" w:rsidRDefault="007A5BED" w:rsidP="006C5869">
            <w:pPr>
              <w:jc w:val="center"/>
            </w:pPr>
          </w:p>
        </w:tc>
      </w:tr>
      <w:tr w:rsidR="007A5BED" w:rsidRPr="006C5869" w14:paraId="6887D6DE"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02159AE3" w14:textId="77777777" w:rsidR="007A5BED" w:rsidRPr="006C5869" w:rsidRDefault="00A77785" w:rsidP="006C5869">
            <w:r w:rsidRPr="006C5869">
              <w:rPr>
                <w:rFonts w:ascii="Times New Roman" w:eastAsia="Times New Roman" w:hAnsi="Times New Roman" w:cs="Times New Roman"/>
                <w:sz w:val="24"/>
                <w:szCs w:val="24"/>
              </w:rPr>
              <w:t xml:space="preserve">Presenting at a professional organization conference </w:t>
            </w:r>
          </w:p>
        </w:tc>
        <w:tc>
          <w:tcPr>
            <w:tcW w:w="3045" w:type="dxa"/>
          </w:tcPr>
          <w:p w14:paraId="11E3BAF4" w14:textId="77777777" w:rsidR="007A5BED" w:rsidRPr="006C5869" w:rsidRDefault="00A77785" w:rsidP="006C5869">
            <w:r w:rsidRPr="006C5869">
              <w:rPr>
                <w:rFonts w:ascii="Times New Roman" w:eastAsia="Times New Roman" w:hAnsi="Times New Roman" w:cs="Times New Roman"/>
                <w:sz w:val="24"/>
                <w:szCs w:val="24"/>
              </w:rPr>
              <w:t>0.3 CEU/</w:t>
            </w:r>
            <w:proofErr w:type="spellStart"/>
            <w:r w:rsidRPr="006C5869">
              <w:rPr>
                <w:rFonts w:ascii="Times New Roman" w:eastAsia="Times New Roman" w:hAnsi="Times New Roman" w:cs="Times New Roman"/>
                <w:sz w:val="24"/>
                <w:szCs w:val="24"/>
              </w:rPr>
              <w:t>hr</w:t>
            </w:r>
            <w:proofErr w:type="spellEnd"/>
            <w:r w:rsidRPr="006C5869">
              <w:rPr>
                <w:rFonts w:ascii="Times New Roman" w:eastAsia="Times New Roman" w:hAnsi="Times New Roman" w:cs="Times New Roman"/>
                <w:sz w:val="24"/>
                <w:szCs w:val="24"/>
              </w:rPr>
              <w:t xml:space="preserve"> presenting</w:t>
            </w:r>
          </w:p>
        </w:tc>
      </w:tr>
      <w:tr w:rsidR="007A5BED" w:rsidRPr="006C5869" w14:paraId="4241F8A6"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3E4AE448" w14:textId="77777777" w:rsidR="007A5BED" w:rsidRPr="006C5869" w:rsidRDefault="00A77785" w:rsidP="006C5869">
            <w:r w:rsidRPr="006C5869">
              <w:rPr>
                <w:rFonts w:ascii="Times New Roman" w:eastAsia="Times New Roman" w:hAnsi="Times New Roman" w:cs="Times New Roman"/>
                <w:sz w:val="24"/>
                <w:szCs w:val="24"/>
              </w:rPr>
              <w:t>Presenting for local conference /union/NAD</w:t>
            </w:r>
          </w:p>
        </w:tc>
        <w:tc>
          <w:tcPr>
            <w:tcW w:w="3045" w:type="dxa"/>
          </w:tcPr>
          <w:p w14:paraId="5A246BA1" w14:textId="77777777" w:rsidR="007A5BED" w:rsidRPr="006C5869" w:rsidRDefault="00A77785" w:rsidP="006C5869">
            <w:r w:rsidRPr="006C5869">
              <w:rPr>
                <w:rFonts w:ascii="Times New Roman" w:eastAsia="Times New Roman" w:hAnsi="Times New Roman" w:cs="Times New Roman"/>
                <w:sz w:val="24"/>
                <w:szCs w:val="24"/>
              </w:rPr>
              <w:t>0.3 CEU/</w:t>
            </w:r>
            <w:proofErr w:type="spellStart"/>
            <w:r w:rsidRPr="006C5869">
              <w:rPr>
                <w:rFonts w:ascii="Times New Roman" w:eastAsia="Times New Roman" w:hAnsi="Times New Roman" w:cs="Times New Roman"/>
                <w:sz w:val="24"/>
                <w:szCs w:val="24"/>
              </w:rPr>
              <w:t>hr</w:t>
            </w:r>
            <w:proofErr w:type="spellEnd"/>
            <w:r w:rsidRPr="006C5869">
              <w:rPr>
                <w:rFonts w:ascii="Times New Roman" w:eastAsia="Times New Roman" w:hAnsi="Times New Roman" w:cs="Times New Roman"/>
                <w:sz w:val="24"/>
                <w:szCs w:val="24"/>
              </w:rPr>
              <w:t xml:space="preserve"> presenting </w:t>
            </w:r>
          </w:p>
        </w:tc>
      </w:tr>
      <w:tr w:rsidR="007A5BED" w:rsidRPr="006C5869" w14:paraId="06170F13"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7785" w:type="dxa"/>
          </w:tcPr>
          <w:p w14:paraId="77ECC720" w14:textId="77777777" w:rsidR="007A5BED" w:rsidRPr="006C5869" w:rsidRDefault="00A77785" w:rsidP="006C5869">
            <w:r w:rsidRPr="006C5869">
              <w:rPr>
                <w:rFonts w:ascii="Times New Roman" w:eastAsia="Times New Roman" w:hAnsi="Times New Roman" w:cs="Times New Roman"/>
                <w:sz w:val="24"/>
                <w:szCs w:val="24"/>
              </w:rPr>
              <w:t>Writing and publication of a book on an educational topic</w:t>
            </w:r>
          </w:p>
        </w:tc>
        <w:tc>
          <w:tcPr>
            <w:tcW w:w="3045" w:type="dxa"/>
          </w:tcPr>
          <w:p w14:paraId="51A01A20" w14:textId="77777777" w:rsidR="007A5BED" w:rsidRPr="006C5869" w:rsidRDefault="00A77785" w:rsidP="006C5869">
            <w:r w:rsidRPr="006C5869">
              <w:rPr>
                <w:rFonts w:ascii="Times New Roman" w:eastAsia="Times New Roman" w:hAnsi="Times New Roman" w:cs="Times New Roman"/>
                <w:sz w:val="24"/>
                <w:szCs w:val="24"/>
              </w:rPr>
              <w:t>4 CEU/100 pages</w:t>
            </w:r>
          </w:p>
        </w:tc>
      </w:tr>
      <w:tr w:rsidR="007A5BED" w:rsidRPr="006C5869" w14:paraId="78A79236" w14:textId="77777777" w:rsidTr="007A5BED">
        <w:trPr>
          <w:cnfStyle w:val="000000010000" w:firstRow="0" w:lastRow="0" w:firstColumn="0" w:lastColumn="0" w:oddVBand="0" w:evenVBand="0" w:oddHBand="0" w:evenHBand="1" w:firstRowFirstColumn="0" w:firstRowLastColumn="0" w:lastRowFirstColumn="0" w:lastRowLastColumn="0"/>
          <w:trHeight w:val="240"/>
        </w:trPr>
        <w:tc>
          <w:tcPr>
            <w:tcW w:w="7785" w:type="dxa"/>
          </w:tcPr>
          <w:p w14:paraId="3DAA1063" w14:textId="77777777" w:rsidR="007A5BED" w:rsidRPr="006C5869" w:rsidRDefault="00A77785" w:rsidP="006C5869">
            <w:r w:rsidRPr="006C5869">
              <w:rPr>
                <w:rFonts w:ascii="Times New Roman" w:eastAsia="Times New Roman" w:hAnsi="Times New Roman" w:cs="Times New Roman"/>
                <w:sz w:val="24"/>
                <w:szCs w:val="24"/>
              </w:rPr>
              <w:t xml:space="preserve">Publication of an academic article in peer reviewed professional journal </w:t>
            </w:r>
          </w:p>
        </w:tc>
        <w:tc>
          <w:tcPr>
            <w:tcW w:w="3045" w:type="dxa"/>
          </w:tcPr>
          <w:p w14:paraId="4043808E" w14:textId="77777777" w:rsidR="007A5BED" w:rsidRPr="006C5869" w:rsidRDefault="00A77785" w:rsidP="006C5869">
            <w:r w:rsidRPr="006C5869">
              <w:rPr>
                <w:rFonts w:ascii="Times New Roman" w:eastAsia="Times New Roman" w:hAnsi="Times New Roman" w:cs="Times New Roman"/>
                <w:sz w:val="24"/>
                <w:szCs w:val="24"/>
              </w:rPr>
              <w:t>3 CEU/article</w:t>
            </w:r>
          </w:p>
        </w:tc>
      </w:tr>
      <w:tr w:rsidR="007A5BED" w:rsidRPr="006C5869" w14:paraId="32E6D170" w14:textId="77777777" w:rsidTr="00341AD2">
        <w:trPr>
          <w:cnfStyle w:val="000000100000" w:firstRow="0" w:lastRow="0" w:firstColumn="0" w:lastColumn="0" w:oddVBand="0" w:evenVBand="0" w:oddHBand="1" w:evenHBand="0" w:firstRowFirstColumn="0" w:firstRowLastColumn="0" w:lastRowFirstColumn="0" w:lastRowLastColumn="0"/>
          <w:trHeight w:val="692"/>
        </w:trPr>
        <w:tc>
          <w:tcPr>
            <w:tcW w:w="7785" w:type="dxa"/>
          </w:tcPr>
          <w:p w14:paraId="4FA11E86" w14:textId="77777777" w:rsidR="007A5BED" w:rsidRPr="006C5869" w:rsidRDefault="00A77785" w:rsidP="006C5869">
            <w:r w:rsidRPr="006C5869">
              <w:rPr>
                <w:rFonts w:ascii="Times New Roman" w:eastAsia="Times New Roman" w:hAnsi="Times New Roman" w:cs="Times New Roman"/>
                <w:sz w:val="24"/>
                <w:szCs w:val="24"/>
              </w:rPr>
              <w:t xml:space="preserve">Publication of an educational non-peer review article, article in SDA journal or local publication </w:t>
            </w:r>
          </w:p>
        </w:tc>
        <w:tc>
          <w:tcPr>
            <w:tcW w:w="3045" w:type="dxa"/>
          </w:tcPr>
          <w:p w14:paraId="731CCCB9" w14:textId="77777777" w:rsidR="007A5BED" w:rsidRPr="006C5869" w:rsidRDefault="00A77785" w:rsidP="006C5869">
            <w:r w:rsidRPr="006C5869">
              <w:rPr>
                <w:rFonts w:ascii="Times New Roman" w:eastAsia="Times New Roman" w:hAnsi="Times New Roman" w:cs="Times New Roman"/>
                <w:sz w:val="24"/>
                <w:szCs w:val="24"/>
              </w:rPr>
              <w:t>1 CEU/article</w:t>
            </w:r>
          </w:p>
        </w:tc>
      </w:tr>
    </w:tbl>
    <w:p w14:paraId="5BFD95D2" w14:textId="77777777" w:rsidR="007A5BED" w:rsidRPr="006C5869" w:rsidRDefault="00A77785" w:rsidP="006C5869">
      <w:r w:rsidRPr="006C5869">
        <w:rPr>
          <w:rFonts w:ascii="Times New Roman" w:eastAsia="Times New Roman" w:hAnsi="Times New Roman" w:cs="Times New Roman"/>
          <w:sz w:val="24"/>
          <w:szCs w:val="24"/>
        </w:rPr>
        <w:t>*CEU=Continuing Education Unit</w:t>
      </w:r>
    </w:p>
    <w:p w14:paraId="2A6974DA" w14:textId="77777777" w:rsidR="00DB1D6B" w:rsidRDefault="00DB1D6B" w:rsidP="006C5869">
      <w:pPr>
        <w:sectPr w:rsidR="00DB1D6B">
          <w:pgSz w:w="12240" w:h="15840"/>
          <w:pgMar w:top="720" w:right="1440" w:bottom="720" w:left="1440" w:header="720" w:footer="720" w:gutter="0"/>
          <w:pgNumType w:start="1"/>
          <w:cols w:space="720" w:equalWidth="0">
            <w:col w:w="9360"/>
          </w:cols>
        </w:sectPr>
      </w:pPr>
    </w:p>
    <w:p w14:paraId="2AB4A7B0" w14:textId="77777777" w:rsidR="007A5BED" w:rsidRPr="006C5869" w:rsidRDefault="007A5BED" w:rsidP="006C5869"/>
    <w:tbl>
      <w:tblPr>
        <w:tblStyle w:val="a1"/>
        <w:tblW w:w="10845"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5"/>
      </w:tblGrid>
      <w:tr w:rsidR="007A5BED" w14:paraId="2F137548" w14:textId="77777777" w:rsidTr="00DB1D6B">
        <w:trPr>
          <w:cnfStyle w:val="000000100000" w:firstRow="0" w:lastRow="0" w:firstColumn="0" w:lastColumn="0" w:oddVBand="0" w:evenVBand="0" w:oddHBand="1" w:evenHBand="0" w:firstRowFirstColumn="0" w:firstRowLastColumn="0" w:lastRowFirstColumn="0" w:lastRowLastColumn="0"/>
          <w:trHeight w:val="12320"/>
        </w:trPr>
        <w:tc>
          <w:tcPr>
            <w:cnfStyle w:val="000010000000" w:firstRow="0" w:lastRow="0" w:firstColumn="0" w:lastColumn="0" w:oddVBand="1" w:evenVBand="0" w:oddHBand="0" w:evenHBand="0" w:firstRowFirstColumn="0" w:firstRowLastColumn="0" w:lastRowFirstColumn="0" w:lastRowLastColumn="0"/>
            <w:tcW w:w="10845" w:type="dxa"/>
          </w:tcPr>
          <w:p w14:paraId="6F91D244" w14:textId="77777777" w:rsidR="007A5BED" w:rsidRPr="006C5869" w:rsidRDefault="00A77785" w:rsidP="006C5869">
            <w:pPr>
              <w:spacing w:before="240" w:after="240"/>
              <w:contextualSpacing w:val="0"/>
              <w:jc w:val="center"/>
            </w:pPr>
            <w:r w:rsidRPr="006C5869">
              <w:rPr>
                <w:rFonts w:ascii="Times New Roman" w:eastAsia="Times New Roman" w:hAnsi="Times New Roman" w:cs="Times New Roman"/>
                <w:b/>
                <w:sz w:val="32"/>
                <w:szCs w:val="32"/>
              </w:rPr>
              <w:t>Continuing Education Units Criteria and Guidelines</w:t>
            </w:r>
          </w:p>
          <w:p w14:paraId="483C77E8"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 xml:space="preserve">Continuing Education Units (CEU) are earned by participation in professional learning activities </w:t>
            </w:r>
            <w:r w:rsidRPr="00DB1D6B">
              <w:rPr>
                <w:rFonts w:asciiTheme="minorHAnsi" w:eastAsia="Times New Roman" w:hAnsiTheme="minorHAnsi" w:cs="Times New Roman"/>
                <w:i/>
              </w:rPr>
              <w:t>that</w:t>
            </w:r>
            <w:r w:rsidRPr="00DB1D6B">
              <w:rPr>
                <w:rFonts w:asciiTheme="minorHAnsi" w:eastAsia="Times New Roman" w:hAnsiTheme="minorHAnsi" w:cs="Times New Roman"/>
              </w:rPr>
              <w:t xml:space="preserve"> </w:t>
            </w:r>
            <w:r w:rsidRPr="00DB1D6B">
              <w:rPr>
                <w:rFonts w:asciiTheme="minorHAnsi" w:eastAsia="Times New Roman" w:hAnsiTheme="minorHAnsi" w:cs="Times New Roman"/>
                <w:i/>
              </w:rPr>
              <w:t xml:space="preserve">extend and enhance professional capacity.  </w:t>
            </w:r>
            <w:r w:rsidRPr="00DB1D6B">
              <w:rPr>
                <w:rFonts w:asciiTheme="minorHAnsi" w:eastAsia="Times New Roman" w:hAnsiTheme="minorHAnsi" w:cs="Times New Roman"/>
              </w:rPr>
              <w:t xml:space="preserve">Therefore, please note that activities which are part of a person’s duties (e.g., sponsorships, field trips, course preparation, school planning and ad hoc committees, etc.) do not qualify for continuing education.  </w:t>
            </w:r>
          </w:p>
          <w:p w14:paraId="52D0ED33" w14:textId="77777777" w:rsidR="00DB1D6B" w:rsidRPr="00DB1D6B" w:rsidRDefault="00DB1D6B" w:rsidP="00DB1D6B">
            <w:pPr>
              <w:pStyle w:val="ListParagraph"/>
              <w:spacing w:after="200"/>
              <w:ind w:left="737"/>
              <w:rPr>
                <w:rFonts w:asciiTheme="minorHAnsi" w:hAnsiTheme="minorHAnsi"/>
                <w:sz w:val="16"/>
                <w:szCs w:val="16"/>
              </w:rPr>
            </w:pPr>
          </w:p>
          <w:p w14:paraId="3428A946" w14:textId="77777777" w:rsidR="00DB1D6B"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Continuing Education Units are NOT applicable for the renewal of the Conditional or Basic Certificates, or for upgrading a Basic Certificate to a Standard Certificate.</w:t>
            </w:r>
          </w:p>
          <w:p w14:paraId="16F2C3EA" w14:textId="77777777" w:rsidR="00DB1D6B" w:rsidRPr="00DB1D6B" w:rsidRDefault="00DB1D6B" w:rsidP="00DB1D6B">
            <w:pPr>
              <w:pStyle w:val="ListParagraph"/>
              <w:spacing w:after="200"/>
              <w:ind w:left="737"/>
              <w:rPr>
                <w:rFonts w:asciiTheme="minorHAnsi" w:hAnsiTheme="minorHAnsi"/>
                <w:sz w:val="16"/>
                <w:szCs w:val="16"/>
              </w:rPr>
            </w:pPr>
          </w:p>
          <w:p w14:paraId="7A52A78B"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Renewal of a Standard Teaching Certificate:  10 semester (15 quarter) hours of renewal credit; 4 semester (6 quarter) hours of these must be academic credits.  The remaining 6 semester (9 quarter) hours can be non-academic hours (18 CEUs or 180 clock hours).</w:t>
            </w:r>
          </w:p>
          <w:p w14:paraId="4FF280E6" w14:textId="77777777" w:rsidR="00DB1D6B" w:rsidRPr="00DB1D6B" w:rsidRDefault="00DB1D6B" w:rsidP="00DB1D6B">
            <w:pPr>
              <w:pStyle w:val="ListParagraph"/>
              <w:spacing w:after="200"/>
              <w:ind w:left="737"/>
              <w:rPr>
                <w:rFonts w:asciiTheme="minorHAnsi" w:hAnsiTheme="minorHAnsi"/>
                <w:sz w:val="16"/>
                <w:szCs w:val="16"/>
              </w:rPr>
            </w:pPr>
          </w:p>
          <w:p w14:paraId="2547C5B5"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Renewal of a Professional Teaching Certificate:  6 semester (9 quarter) hours of renewal credit, either academic or non-academic (18 CEUs or 180 clock hours).</w:t>
            </w:r>
          </w:p>
          <w:p w14:paraId="4D78758A" w14:textId="77777777" w:rsidR="00DB1D6B" w:rsidRPr="00DB1D6B" w:rsidRDefault="00DB1D6B" w:rsidP="00DB1D6B">
            <w:pPr>
              <w:pStyle w:val="ListParagraph"/>
              <w:spacing w:after="200"/>
              <w:ind w:left="737"/>
              <w:rPr>
                <w:rFonts w:asciiTheme="minorHAnsi" w:hAnsiTheme="minorHAnsi"/>
                <w:sz w:val="16"/>
                <w:szCs w:val="16"/>
              </w:rPr>
            </w:pPr>
          </w:p>
          <w:p w14:paraId="2141FF3C"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For each renewal period, teaching professionals must submit evidence from at least TWO approved activities listed on the form.</w:t>
            </w:r>
          </w:p>
          <w:p w14:paraId="7BE95AF0" w14:textId="77777777" w:rsidR="00DB1D6B" w:rsidRPr="00DB1D6B" w:rsidRDefault="00DB1D6B" w:rsidP="00DB1D6B">
            <w:pPr>
              <w:pStyle w:val="ListParagraph"/>
              <w:spacing w:after="200"/>
              <w:ind w:left="737"/>
              <w:rPr>
                <w:rFonts w:asciiTheme="minorHAnsi" w:hAnsiTheme="minorHAnsi"/>
                <w:sz w:val="16"/>
                <w:szCs w:val="16"/>
              </w:rPr>
            </w:pPr>
          </w:p>
          <w:p w14:paraId="4252A797"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1 CEU = 10 clock hours. 0.1 CEU = 1 hour (see table below for equivalent semester/quarter credits).</w:t>
            </w:r>
          </w:p>
          <w:p w14:paraId="77F4362D" w14:textId="77777777" w:rsidR="00DB1D6B" w:rsidRPr="00DB1D6B" w:rsidRDefault="00DB1D6B" w:rsidP="00DB1D6B">
            <w:pPr>
              <w:pStyle w:val="ListParagraph"/>
              <w:spacing w:after="200"/>
              <w:ind w:left="737"/>
              <w:rPr>
                <w:rFonts w:asciiTheme="minorHAnsi" w:hAnsiTheme="minorHAnsi"/>
                <w:sz w:val="16"/>
                <w:szCs w:val="16"/>
              </w:rPr>
            </w:pPr>
          </w:p>
          <w:p w14:paraId="6ECF52E2" w14:textId="77777777" w:rsidR="007A5BED" w:rsidRPr="00DB1D6B" w:rsidRDefault="00A77785" w:rsidP="00DB1D6B">
            <w:pPr>
              <w:pStyle w:val="ListParagraph"/>
              <w:numPr>
                <w:ilvl w:val="0"/>
                <w:numId w:val="1"/>
              </w:numPr>
              <w:spacing w:before="240" w:after="200"/>
              <w:ind w:left="737"/>
              <w:rPr>
                <w:rFonts w:asciiTheme="minorHAnsi" w:hAnsiTheme="minorHAnsi"/>
              </w:rPr>
            </w:pPr>
            <w:r w:rsidRPr="00DB1D6B">
              <w:rPr>
                <w:rFonts w:asciiTheme="minorHAnsi" w:eastAsia="Times New Roman" w:hAnsiTheme="minorHAnsi" w:cs="Times New Roman"/>
              </w:rPr>
              <w:t xml:space="preserve">Mirror 4.7.3 in Cert. </w:t>
            </w:r>
            <w:r w:rsidR="006C5869" w:rsidRPr="00DB1D6B">
              <w:rPr>
                <w:rFonts w:asciiTheme="minorHAnsi" w:eastAsia="Times New Roman" w:hAnsiTheme="minorHAnsi" w:cs="Times New Roman"/>
              </w:rPr>
              <w:t xml:space="preserve">Manual Submission </w:t>
            </w:r>
            <w:r w:rsidRPr="00DB1D6B">
              <w:rPr>
                <w:rFonts w:asciiTheme="minorHAnsi" w:eastAsia="Times New Roman" w:hAnsiTheme="minorHAnsi" w:cs="Times New Roman"/>
              </w:rPr>
              <w:t>process based on Union/conference protocol.</w:t>
            </w:r>
          </w:p>
          <w:p w14:paraId="22AB8FBB" w14:textId="77777777" w:rsidR="00DB1D6B" w:rsidRPr="00DB1D6B" w:rsidRDefault="00DB1D6B" w:rsidP="00DB1D6B">
            <w:pPr>
              <w:pStyle w:val="ListParagraph"/>
              <w:spacing w:after="200"/>
              <w:ind w:left="737"/>
              <w:rPr>
                <w:rFonts w:asciiTheme="minorHAnsi" w:hAnsiTheme="minorHAnsi"/>
                <w:sz w:val="16"/>
                <w:szCs w:val="16"/>
              </w:rPr>
            </w:pPr>
          </w:p>
          <w:p w14:paraId="2AB5B481" w14:textId="77777777" w:rsidR="007A5BED" w:rsidRPr="00DB1D6B" w:rsidRDefault="00A77785" w:rsidP="00DB1D6B">
            <w:pPr>
              <w:pStyle w:val="ListParagraph"/>
              <w:numPr>
                <w:ilvl w:val="0"/>
                <w:numId w:val="1"/>
              </w:numPr>
              <w:spacing w:after="200"/>
              <w:ind w:left="737"/>
              <w:rPr>
                <w:rFonts w:asciiTheme="minorHAnsi" w:hAnsiTheme="minorHAnsi"/>
              </w:rPr>
            </w:pPr>
            <w:r w:rsidRPr="00DB1D6B">
              <w:rPr>
                <w:rFonts w:asciiTheme="minorHAnsi" w:eastAsia="Times New Roman" w:hAnsiTheme="minorHAnsi" w:cs="Times New Roman"/>
              </w:rPr>
              <w:t>Units will be recorded only when verified by the Superintendent.</w:t>
            </w:r>
          </w:p>
          <w:p w14:paraId="17DA7BDA" w14:textId="77777777" w:rsidR="00DB1D6B" w:rsidRPr="00DB1D6B" w:rsidRDefault="00DB1D6B" w:rsidP="00DB1D6B">
            <w:pPr>
              <w:pStyle w:val="ListParagraph"/>
              <w:spacing w:after="200"/>
              <w:ind w:left="737"/>
              <w:rPr>
                <w:rFonts w:asciiTheme="minorHAnsi" w:hAnsiTheme="minorHAnsi"/>
                <w:sz w:val="16"/>
                <w:szCs w:val="16"/>
              </w:rPr>
            </w:pPr>
          </w:p>
          <w:p w14:paraId="33CE1C82" w14:textId="77777777" w:rsidR="007A5BED" w:rsidRPr="00DB1D6B" w:rsidRDefault="00A77785" w:rsidP="00DB1D6B">
            <w:pPr>
              <w:pStyle w:val="ListParagraph"/>
              <w:numPr>
                <w:ilvl w:val="0"/>
                <w:numId w:val="1"/>
              </w:numPr>
              <w:ind w:left="737"/>
              <w:rPr>
                <w:rFonts w:asciiTheme="minorHAnsi" w:hAnsiTheme="minorHAnsi"/>
              </w:rPr>
            </w:pPr>
            <w:r w:rsidRPr="00DB1D6B">
              <w:rPr>
                <w:rFonts w:asciiTheme="minorHAnsi" w:eastAsia="Times New Roman" w:hAnsiTheme="minorHAnsi" w:cs="Times New Roman"/>
              </w:rPr>
              <w:t xml:space="preserve">Further information can be found in the NAD </w:t>
            </w:r>
            <w:r w:rsidRPr="00DB1D6B">
              <w:rPr>
                <w:rFonts w:asciiTheme="minorHAnsi" w:eastAsia="Times New Roman" w:hAnsiTheme="minorHAnsi" w:cs="Times New Roman"/>
                <w:i/>
              </w:rPr>
              <w:t>K-12 Educators’ Certification Manual</w:t>
            </w:r>
            <w:r w:rsidRPr="00DB1D6B">
              <w:rPr>
                <w:rFonts w:asciiTheme="minorHAnsi" w:eastAsia="Times New Roman" w:hAnsiTheme="minorHAnsi" w:cs="Times New Roman"/>
              </w:rPr>
              <w:t xml:space="preserve"> (</w:t>
            </w:r>
            <w:hyperlink r:id="rId8">
              <w:r w:rsidRPr="00DB1D6B">
                <w:rPr>
                  <w:rFonts w:asciiTheme="minorHAnsi" w:eastAsia="Times New Roman" w:hAnsiTheme="minorHAnsi" w:cs="Times New Roman"/>
                  <w:color w:val="1155CC"/>
                  <w:u w:val="single"/>
                </w:rPr>
                <w:t>www.adventisteducation.org</w:t>
              </w:r>
            </w:hyperlink>
            <w:r w:rsidRPr="00DB1D6B">
              <w:rPr>
                <w:rFonts w:asciiTheme="minorHAnsi" w:eastAsia="Times New Roman" w:hAnsiTheme="minorHAnsi" w:cs="Times New Roman"/>
              </w:rPr>
              <w:t>).  Please contact your union certification registrar if you have any questions.</w:t>
            </w:r>
          </w:p>
          <w:p w14:paraId="0528778E" w14:textId="77777777" w:rsidR="007A5BED" w:rsidRPr="006C5869" w:rsidRDefault="007A5BED" w:rsidP="006C5869">
            <w:pPr>
              <w:ind w:left="765" w:hanging="450"/>
              <w:contextualSpacing w:val="0"/>
            </w:pPr>
          </w:p>
          <w:tbl>
            <w:tblPr>
              <w:tblStyle w:val="a0"/>
              <w:tblW w:w="9765"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
              <w:gridCol w:w="4380"/>
              <w:gridCol w:w="4500"/>
            </w:tblGrid>
            <w:tr w:rsidR="007A5BED" w:rsidRPr="006C5869" w14:paraId="26C7BFB2" w14:textId="77777777" w:rsidTr="007A5BED">
              <w:trPr>
                <w:trHeight w:val="660"/>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F2B45"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 xml:space="preserve"># of Credits </w:t>
                  </w:r>
                </w:p>
              </w:tc>
              <w:tc>
                <w:tcPr>
                  <w:tcW w:w="4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ABE81C"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 xml:space="preserve">1 Quarter Hour is equivalent to </w:t>
                  </w:r>
                </w:p>
                <w:p w14:paraId="1EF43F55"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20 CH</w:t>
                  </w:r>
                </w:p>
              </w:tc>
              <w:tc>
                <w:tcPr>
                  <w:tcW w:w="45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2E6C75"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 xml:space="preserve">1 Semester Hour is equivalent to </w:t>
                  </w:r>
                </w:p>
                <w:p w14:paraId="5F039068"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30 CH</w:t>
                  </w:r>
                </w:p>
              </w:tc>
            </w:tr>
            <w:tr w:rsidR="007A5BED" w:rsidRPr="006C5869" w14:paraId="59818FE0"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11E84E"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w:t>
                  </w:r>
                </w:p>
              </w:tc>
              <w:tc>
                <w:tcPr>
                  <w:tcW w:w="4380" w:type="dxa"/>
                  <w:tcBorders>
                    <w:bottom w:val="single" w:sz="8" w:space="0" w:color="000000"/>
                    <w:right w:val="single" w:sz="8" w:space="0" w:color="000000"/>
                  </w:tcBorders>
                  <w:tcMar>
                    <w:top w:w="100" w:type="dxa"/>
                    <w:left w:w="100" w:type="dxa"/>
                    <w:bottom w:w="100" w:type="dxa"/>
                    <w:right w:w="100" w:type="dxa"/>
                  </w:tcMar>
                </w:tcPr>
                <w:p w14:paraId="4209CD9B"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2 CEU</w:t>
                  </w:r>
                </w:p>
              </w:tc>
              <w:tc>
                <w:tcPr>
                  <w:tcW w:w="4500" w:type="dxa"/>
                  <w:tcBorders>
                    <w:bottom w:val="single" w:sz="8" w:space="0" w:color="000000"/>
                    <w:right w:val="single" w:sz="8" w:space="0" w:color="000000"/>
                  </w:tcBorders>
                  <w:tcMar>
                    <w:top w:w="100" w:type="dxa"/>
                    <w:left w:w="100" w:type="dxa"/>
                    <w:bottom w:w="100" w:type="dxa"/>
                    <w:right w:w="100" w:type="dxa"/>
                  </w:tcMar>
                </w:tcPr>
                <w:p w14:paraId="0D2181E9"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3 CEU</w:t>
                  </w:r>
                </w:p>
              </w:tc>
            </w:tr>
            <w:tr w:rsidR="007A5BED" w:rsidRPr="006C5869" w14:paraId="52FC554B"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79621C"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2</w:t>
                  </w:r>
                </w:p>
              </w:tc>
              <w:tc>
                <w:tcPr>
                  <w:tcW w:w="4380" w:type="dxa"/>
                  <w:tcBorders>
                    <w:bottom w:val="single" w:sz="8" w:space="0" w:color="000000"/>
                    <w:right w:val="single" w:sz="8" w:space="0" w:color="000000"/>
                  </w:tcBorders>
                  <w:tcMar>
                    <w:top w:w="100" w:type="dxa"/>
                    <w:left w:w="100" w:type="dxa"/>
                    <w:bottom w:w="100" w:type="dxa"/>
                    <w:right w:w="100" w:type="dxa"/>
                  </w:tcMar>
                </w:tcPr>
                <w:p w14:paraId="7DB5AEED"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4 CEU</w:t>
                  </w:r>
                </w:p>
              </w:tc>
              <w:tc>
                <w:tcPr>
                  <w:tcW w:w="4500" w:type="dxa"/>
                  <w:tcBorders>
                    <w:bottom w:val="single" w:sz="8" w:space="0" w:color="000000"/>
                    <w:right w:val="single" w:sz="8" w:space="0" w:color="000000"/>
                  </w:tcBorders>
                  <w:tcMar>
                    <w:top w:w="100" w:type="dxa"/>
                    <w:left w:w="100" w:type="dxa"/>
                    <w:bottom w:w="100" w:type="dxa"/>
                    <w:right w:w="100" w:type="dxa"/>
                  </w:tcMar>
                </w:tcPr>
                <w:p w14:paraId="3E04A35F"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6 CEU</w:t>
                  </w:r>
                </w:p>
              </w:tc>
            </w:tr>
            <w:tr w:rsidR="007A5BED" w:rsidRPr="006C5869" w14:paraId="6A47D849"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60F9A9"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3</w:t>
                  </w:r>
                </w:p>
              </w:tc>
              <w:tc>
                <w:tcPr>
                  <w:tcW w:w="4380" w:type="dxa"/>
                  <w:tcBorders>
                    <w:bottom w:val="single" w:sz="8" w:space="0" w:color="000000"/>
                    <w:right w:val="single" w:sz="8" w:space="0" w:color="000000"/>
                  </w:tcBorders>
                  <w:tcMar>
                    <w:top w:w="100" w:type="dxa"/>
                    <w:left w:w="100" w:type="dxa"/>
                    <w:bottom w:w="100" w:type="dxa"/>
                    <w:right w:w="100" w:type="dxa"/>
                  </w:tcMar>
                </w:tcPr>
                <w:p w14:paraId="645692F2"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6 CEU</w:t>
                  </w:r>
                </w:p>
              </w:tc>
              <w:tc>
                <w:tcPr>
                  <w:tcW w:w="4500" w:type="dxa"/>
                  <w:tcBorders>
                    <w:bottom w:val="single" w:sz="8" w:space="0" w:color="000000"/>
                    <w:right w:val="single" w:sz="8" w:space="0" w:color="000000"/>
                  </w:tcBorders>
                  <w:tcMar>
                    <w:top w:w="100" w:type="dxa"/>
                    <w:left w:w="100" w:type="dxa"/>
                    <w:bottom w:w="100" w:type="dxa"/>
                    <w:right w:w="100" w:type="dxa"/>
                  </w:tcMar>
                </w:tcPr>
                <w:p w14:paraId="685043D9"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9 CEU</w:t>
                  </w:r>
                </w:p>
              </w:tc>
            </w:tr>
            <w:tr w:rsidR="007A5BED" w:rsidRPr="006C5869" w14:paraId="60BC8098"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415D68"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4</w:t>
                  </w:r>
                </w:p>
              </w:tc>
              <w:tc>
                <w:tcPr>
                  <w:tcW w:w="4380" w:type="dxa"/>
                  <w:tcBorders>
                    <w:bottom w:val="single" w:sz="8" w:space="0" w:color="000000"/>
                    <w:right w:val="single" w:sz="8" w:space="0" w:color="000000"/>
                  </w:tcBorders>
                  <w:tcMar>
                    <w:top w:w="100" w:type="dxa"/>
                    <w:left w:w="100" w:type="dxa"/>
                    <w:bottom w:w="100" w:type="dxa"/>
                    <w:right w:w="100" w:type="dxa"/>
                  </w:tcMar>
                </w:tcPr>
                <w:p w14:paraId="23A94669"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8 CEU</w:t>
                  </w:r>
                </w:p>
              </w:tc>
              <w:tc>
                <w:tcPr>
                  <w:tcW w:w="4500" w:type="dxa"/>
                  <w:tcBorders>
                    <w:bottom w:val="single" w:sz="8" w:space="0" w:color="000000"/>
                    <w:right w:val="single" w:sz="8" w:space="0" w:color="000000"/>
                  </w:tcBorders>
                  <w:tcMar>
                    <w:top w:w="100" w:type="dxa"/>
                    <w:left w:w="100" w:type="dxa"/>
                    <w:bottom w:w="100" w:type="dxa"/>
                    <w:right w:w="100" w:type="dxa"/>
                  </w:tcMar>
                </w:tcPr>
                <w:p w14:paraId="2FFEE5A4"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12 CEU</w:t>
                  </w:r>
                </w:p>
              </w:tc>
            </w:tr>
            <w:tr w:rsidR="007A5BED" w:rsidRPr="006C5869" w14:paraId="3ADFDC32"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9E3404"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5</w:t>
                  </w:r>
                </w:p>
              </w:tc>
              <w:tc>
                <w:tcPr>
                  <w:tcW w:w="4380" w:type="dxa"/>
                  <w:tcBorders>
                    <w:bottom w:val="single" w:sz="8" w:space="0" w:color="000000"/>
                    <w:right w:val="single" w:sz="8" w:space="0" w:color="000000"/>
                  </w:tcBorders>
                  <w:tcMar>
                    <w:top w:w="100" w:type="dxa"/>
                    <w:left w:w="100" w:type="dxa"/>
                    <w:bottom w:w="100" w:type="dxa"/>
                    <w:right w:w="100" w:type="dxa"/>
                  </w:tcMar>
                </w:tcPr>
                <w:p w14:paraId="623E4D66"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10 CEU</w:t>
                  </w:r>
                </w:p>
              </w:tc>
              <w:tc>
                <w:tcPr>
                  <w:tcW w:w="4500" w:type="dxa"/>
                  <w:tcBorders>
                    <w:bottom w:val="single" w:sz="8" w:space="0" w:color="000000"/>
                    <w:right w:val="single" w:sz="8" w:space="0" w:color="000000"/>
                  </w:tcBorders>
                  <w:tcMar>
                    <w:top w:w="100" w:type="dxa"/>
                    <w:left w:w="100" w:type="dxa"/>
                    <w:bottom w:w="100" w:type="dxa"/>
                    <w:right w:w="100" w:type="dxa"/>
                  </w:tcMar>
                </w:tcPr>
                <w:p w14:paraId="0B2C3AFE"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15 CEU</w:t>
                  </w:r>
                </w:p>
              </w:tc>
            </w:tr>
            <w:tr w:rsidR="007A5BED" w14:paraId="121A6A2F" w14:textId="77777777" w:rsidTr="007A5BED">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0F2D4D"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6</w:t>
                  </w:r>
                </w:p>
              </w:tc>
              <w:tc>
                <w:tcPr>
                  <w:tcW w:w="4380" w:type="dxa"/>
                  <w:tcBorders>
                    <w:bottom w:val="single" w:sz="8" w:space="0" w:color="000000"/>
                    <w:right w:val="single" w:sz="8" w:space="0" w:color="000000"/>
                  </w:tcBorders>
                  <w:tcMar>
                    <w:top w:w="100" w:type="dxa"/>
                    <w:left w:w="100" w:type="dxa"/>
                    <w:bottom w:w="100" w:type="dxa"/>
                    <w:right w:w="100" w:type="dxa"/>
                  </w:tcMar>
                </w:tcPr>
                <w:p w14:paraId="1649B339"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12 CEU</w:t>
                  </w:r>
                </w:p>
              </w:tc>
              <w:tc>
                <w:tcPr>
                  <w:tcW w:w="4500" w:type="dxa"/>
                  <w:tcBorders>
                    <w:bottom w:val="single" w:sz="8" w:space="0" w:color="000000"/>
                    <w:right w:val="single" w:sz="8" w:space="0" w:color="000000"/>
                  </w:tcBorders>
                  <w:tcMar>
                    <w:top w:w="100" w:type="dxa"/>
                    <w:left w:w="100" w:type="dxa"/>
                    <w:bottom w:w="100" w:type="dxa"/>
                    <w:right w:w="100" w:type="dxa"/>
                  </w:tcMar>
                </w:tcPr>
                <w:p w14:paraId="246D59CA" w14:textId="77777777" w:rsidR="007A5BED" w:rsidRPr="006C5869" w:rsidRDefault="00A77785" w:rsidP="006C5869">
                  <w:pPr>
                    <w:spacing w:after="0" w:line="240" w:lineRule="auto"/>
                    <w:contextualSpacing w:val="0"/>
                    <w:jc w:val="center"/>
                  </w:pPr>
                  <w:r w:rsidRPr="006C5869">
                    <w:rPr>
                      <w:rFonts w:ascii="Times New Roman" w:eastAsia="Times New Roman" w:hAnsi="Times New Roman" w:cs="Times New Roman"/>
                    </w:rPr>
                    <w:t>18 CEU</w:t>
                  </w:r>
                </w:p>
              </w:tc>
            </w:tr>
          </w:tbl>
          <w:p w14:paraId="1A6851B6" w14:textId="77777777" w:rsidR="007A5BED" w:rsidRDefault="007A5BED" w:rsidP="006C5869">
            <w:pPr>
              <w:contextualSpacing w:val="0"/>
            </w:pPr>
          </w:p>
        </w:tc>
      </w:tr>
    </w:tbl>
    <w:p w14:paraId="18870D8C" w14:textId="77777777" w:rsidR="007A5BED" w:rsidRDefault="007A5BED">
      <w:pPr>
        <w:ind w:left="-630"/>
      </w:pPr>
    </w:p>
    <w:p w14:paraId="101F64CA" w14:textId="77777777" w:rsidR="007A5BED" w:rsidRDefault="00A77785">
      <w:pPr>
        <w:ind w:left="-630"/>
      </w:pPr>
      <w:r>
        <w:rPr>
          <w:rFonts w:ascii="Times New Roman" w:eastAsia="Times New Roman" w:hAnsi="Times New Roman" w:cs="Times New Roman"/>
          <w:highlight w:val="white"/>
        </w:rPr>
        <w:t>For internal notes only:</w:t>
      </w:r>
    </w:p>
    <w:tbl>
      <w:tblPr>
        <w:tblStyle w:val="a2"/>
        <w:tblW w:w="9360"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0"/>
        <w:gridCol w:w="2640"/>
      </w:tblGrid>
      <w:tr w:rsidR="007A5BED" w14:paraId="7344C962" w14:textId="77777777" w:rsidTr="007A5BED">
        <w:trPr>
          <w:cnfStyle w:val="000000100000" w:firstRow="0" w:lastRow="0" w:firstColumn="0" w:lastColumn="0" w:oddVBand="0" w:evenVBand="0" w:oddHBand="1" w:evenHBand="0" w:firstRowFirstColumn="0" w:firstRowLastColumn="0" w:lastRowFirstColumn="0" w:lastRowLastColumn="0"/>
          <w:trHeight w:val="240"/>
        </w:trPr>
        <w:tc>
          <w:tcPr>
            <w:tcW w:w="6720" w:type="dxa"/>
          </w:tcPr>
          <w:p w14:paraId="1F6A6450" w14:textId="77777777" w:rsidR="007A5BED" w:rsidRPr="006C5869" w:rsidRDefault="00A77785">
            <w:r w:rsidRPr="006C5869">
              <w:rPr>
                <w:rFonts w:ascii="Times New Roman" w:eastAsia="Times New Roman" w:hAnsi="Times New Roman" w:cs="Times New Roman"/>
              </w:rPr>
              <w:t>Content creation for Adventist Learning Community (pre-arranged with ALC administration).</w:t>
            </w:r>
          </w:p>
        </w:tc>
        <w:tc>
          <w:tcPr>
            <w:tcW w:w="2640" w:type="dxa"/>
          </w:tcPr>
          <w:p w14:paraId="4F971D1D" w14:textId="77777777" w:rsidR="007A5BED" w:rsidRPr="006C5869" w:rsidRDefault="00A77785">
            <w:r w:rsidRPr="006C5869">
              <w:rPr>
                <w:rFonts w:ascii="Times New Roman" w:eastAsia="Times New Roman" w:hAnsi="Times New Roman" w:cs="Times New Roman"/>
                <w:highlight w:val="white"/>
              </w:rPr>
              <w:t xml:space="preserve">Double CEU value of the course and multiply by 10 </w:t>
            </w:r>
          </w:p>
        </w:tc>
      </w:tr>
    </w:tbl>
    <w:p w14:paraId="30EEAB5D" w14:textId="77777777" w:rsidR="007A5BED" w:rsidRDefault="007A5BED"/>
    <w:sectPr w:rsidR="007A5BED" w:rsidSect="00DB1D6B">
      <w:pgSz w:w="12240" w:h="15840"/>
      <w:pgMar w:top="432" w:right="1440" w:bottom="432"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15612"/>
    <w:multiLevelType w:val="hybridMultilevel"/>
    <w:tmpl w:val="F6BAF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652AAE"/>
    <w:multiLevelType w:val="hybridMultilevel"/>
    <w:tmpl w:val="2A7C1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yMDQ0MzSzNDcxsTRW0lEKTi0uzszPAykwrAUA0thfEiwAAAA="/>
  </w:docVars>
  <w:rsids>
    <w:rsidRoot w:val="007A5BED"/>
    <w:rsid w:val="00341AD2"/>
    <w:rsid w:val="00380795"/>
    <w:rsid w:val="006C5869"/>
    <w:rsid w:val="007A5BED"/>
    <w:rsid w:val="00A77785"/>
    <w:rsid w:val="00D52CAA"/>
    <w:rsid w:val="00DB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5A44"/>
  <w15:docId w15:val="{465831E6-1FE0-464C-A13C-E7827114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DB1D6B"/>
    <w:pPr>
      <w:ind w:left="720"/>
      <w:contextualSpacing/>
    </w:pPr>
  </w:style>
  <w:style w:type="paragraph" w:styleId="BalloonText">
    <w:name w:val="Balloon Text"/>
    <w:basedOn w:val="Normal"/>
    <w:link w:val="BalloonTextChar"/>
    <w:uiPriority w:val="99"/>
    <w:semiHidden/>
    <w:unhideWhenUsed/>
    <w:rsid w:val="0038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dventisteducation.org/" TargetMode="External"/><Relationship Id="rId3" Type="http://schemas.openxmlformats.org/officeDocument/2006/relationships/settings" Target="settings.xml"/><Relationship Id="rId7" Type="http://schemas.openxmlformats.org/officeDocument/2006/relationships/hyperlink" Target="https://docs.google.com/document/d/1cAWcc883V388bmFKwv6eLJqR96-IHFZBsa0bqfjk8rw/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AWcc883V388bmFKwv6eLJqR96-IHFZBsa0bqfjk8rw/edit?usp=sharing" TargetMode="External"/><Relationship Id="rId5" Type="http://schemas.openxmlformats.org/officeDocument/2006/relationships/hyperlink" Target="https://docs.google.com/document/d/1cAWcc883V388bmFKwv6eLJqR96-IHFZBsa0bqfjk8rw/edit?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Tidwell</dc:creator>
  <cp:lastModifiedBy>Lori Aguilera</cp:lastModifiedBy>
  <cp:revision>2</cp:revision>
  <cp:lastPrinted>2017-02-06T20:56:00Z</cp:lastPrinted>
  <dcterms:created xsi:type="dcterms:W3CDTF">2020-05-06T23:27:00Z</dcterms:created>
  <dcterms:modified xsi:type="dcterms:W3CDTF">2020-05-06T23:27:00Z</dcterms:modified>
</cp:coreProperties>
</file>